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D6FE" w14:textId="77777777" w:rsidR="00536686" w:rsidRPr="00536686" w:rsidRDefault="0053668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DC0768A" w14:textId="3E0465B8" w:rsidR="00545935" w:rsidRPr="008853BC" w:rsidRDefault="002B2D69" w:rsidP="009C22C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AND SUMMONS – PROBLEM GAMBLING – ATTACHMENT </w:t>
      </w:r>
      <w:r w:rsidR="000551CA">
        <w:rPr>
          <w:rFonts w:cs="Arial"/>
          <w:b/>
          <w:bCs/>
          <w:sz w:val="28"/>
        </w:rPr>
        <w:t xml:space="preserve">ORDER </w:t>
      </w:r>
      <w:r>
        <w:rPr>
          <w:rFonts w:cs="Arial"/>
          <w:b/>
          <w:bCs/>
          <w:sz w:val="28"/>
        </w:rPr>
        <w:t>AND SUMMONS (INTERIM)</w:t>
      </w:r>
    </w:p>
    <w:p w14:paraId="6599FFE2" w14:textId="6E1C749F" w:rsidR="00AE159B" w:rsidRDefault="0018212F" w:rsidP="001F392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Intervention Orders (Prevention of Abuse</w:t>
      </w:r>
      <w:r w:rsidR="00B72710">
        <w:rPr>
          <w:rFonts w:cs="Arial"/>
          <w:b/>
          <w:bCs/>
        </w:rPr>
        <w:t xml:space="preserve"> Act </w:t>
      </w:r>
      <w:r>
        <w:rPr>
          <w:rFonts w:cs="Arial"/>
          <w:b/>
          <w:bCs/>
        </w:rPr>
        <w:t>2009</w:t>
      </w:r>
      <w:r w:rsidR="00B72710">
        <w:rPr>
          <w:rFonts w:cs="Arial"/>
          <w:b/>
          <w:bCs/>
        </w:rPr>
        <w:t xml:space="preserve"> </w:t>
      </w:r>
      <w:r w:rsidR="008056B1">
        <w:rPr>
          <w:rFonts w:cs="Arial"/>
          <w:b/>
          <w:bCs/>
        </w:rPr>
        <w:t>s</w:t>
      </w:r>
      <w:r w:rsidR="00B72710">
        <w:rPr>
          <w:rFonts w:cs="Arial"/>
          <w:b/>
          <w:bCs/>
        </w:rPr>
        <w:t xml:space="preserve"> 2</w:t>
      </w:r>
      <w:r w:rsidR="00AE159B">
        <w:rPr>
          <w:rFonts w:cs="Arial"/>
          <w:b/>
          <w:bCs/>
        </w:rPr>
        <w:t>4(3</w:t>
      </w:r>
      <w:r>
        <w:rPr>
          <w:rFonts w:cs="Arial"/>
          <w:b/>
          <w:bCs/>
        </w:rPr>
        <w:t>)</w:t>
      </w:r>
    </w:p>
    <w:p w14:paraId="2B9041C8" w14:textId="26205A14" w:rsidR="006220DB" w:rsidRPr="00536686" w:rsidRDefault="00AE159B" w:rsidP="001F392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Problem Gambling </w:t>
      </w:r>
      <w:r w:rsidR="001067B0">
        <w:rPr>
          <w:rFonts w:cs="Arial"/>
          <w:b/>
          <w:bCs/>
        </w:rPr>
        <w:t xml:space="preserve">Protection Orders Act 2004 </w:t>
      </w:r>
      <w:r w:rsidR="008056B1">
        <w:rPr>
          <w:rFonts w:cs="Arial"/>
          <w:b/>
          <w:bCs/>
        </w:rPr>
        <w:t>s</w:t>
      </w:r>
      <w:r w:rsidR="001067B0">
        <w:rPr>
          <w:rFonts w:cs="Arial"/>
          <w:b/>
          <w:bCs/>
        </w:rPr>
        <w:t xml:space="preserve"> 6(2)</w:t>
      </w:r>
      <w:r w:rsidR="00B72710">
        <w:rPr>
          <w:rFonts w:cs="Arial"/>
          <w:b/>
          <w:bCs/>
        </w:rPr>
        <w:t>)</w:t>
      </w:r>
    </w:p>
    <w:p w14:paraId="60FF74F5" w14:textId="77777777" w:rsidR="009C22C8" w:rsidRDefault="009C22C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bookmarkStart w:id="0" w:name="_Hlk31959557"/>
    </w:p>
    <w:p w14:paraId="58387198" w14:textId="1FB28859" w:rsidR="006220DB" w:rsidRPr="008853BC" w:rsidRDefault="004D127C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66895536"/>
      <w:r w:rsidRPr="00503A10">
        <w:rPr>
          <w:rFonts w:cs="Calibri"/>
          <w:iCs/>
        </w:rPr>
        <w:t>MAGISTRATES</w:t>
      </w:r>
      <w:r w:rsidRPr="006220DB">
        <w:rPr>
          <w:rFonts w:cs="Calibri"/>
          <w:iCs/>
        </w:rPr>
        <w:t xml:space="preserve"> </w:t>
      </w:r>
      <w:r w:rsidR="000914EA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bookmarkEnd w:id="1"/>
      <w:r w:rsidR="006220DB" w:rsidRPr="008853BC">
        <w:rPr>
          <w:rFonts w:cs="Calibri"/>
          <w:iCs/>
        </w:rPr>
        <w:t xml:space="preserve">COURT </w:t>
      </w:r>
      <w:r w:rsidR="006220DB" w:rsidRPr="008853BC">
        <w:rPr>
          <w:rFonts w:cs="Calibri"/>
          <w:bCs/>
        </w:rPr>
        <w:t xml:space="preserve">OF SOUTH AUSTRALIA </w:t>
      </w:r>
    </w:p>
    <w:p w14:paraId="086AA931" w14:textId="485CEB3A" w:rsidR="006220DB" w:rsidRPr="008853BC" w:rsidRDefault="00A43A7E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E609ED">
        <w:rPr>
          <w:rFonts w:cs="Calibri"/>
          <w:iCs/>
        </w:rPr>
        <w:t xml:space="preserve">STATUTORY </w:t>
      </w:r>
      <w:r w:rsidR="006220DB" w:rsidRPr="008853BC">
        <w:rPr>
          <w:rFonts w:cs="Calibri"/>
          <w:iCs/>
        </w:rPr>
        <w:t>JURISDICTION</w:t>
      </w:r>
    </w:p>
    <w:p w14:paraId="7EE96F86" w14:textId="40E45896" w:rsidR="00B76F8B" w:rsidRPr="000914EA" w:rsidRDefault="00D93877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38649"/>
      <w:bookmarkEnd w:id="0"/>
      <w:r w:rsidRPr="000914EA">
        <w:rPr>
          <w:rFonts w:cs="Calibri"/>
          <w:b/>
        </w:rPr>
        <w:t>[</w:t>
      </w:r>
      <w:r w:rsidR="00B459F1" w:rsidRPr="000914EA">
        <w:rPr>
          <w:rFonts w:cs="Calibri"/>
          <w:b/>
          <w:i/>
        </w:rPr>
        <w:t>FULL NAME</w:t>
      </w:r>
      <w:r w:rsidRPr="000914EA">
        <w:rPr>
          <w:rFonts w:cs="Calibri"/>
          <w:b/>
        </w:rPr>
        <w:t>]</w:t>
      </w:r>
    </w:p>
    <w:p w14:paraId="371A6F8C" w14:textId="6AC8FCA5" w:rsidR="000914EA" w:rsidRPr="000914EA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914EA">
        <w:rPr>
          <w:rFonts w:cs="Calibri"/>
          <w:b/>
        </w:rPr>
        <w:t>Applicant</w:t>
      </w:r>
    </w:p>
    <w:p w14:paraId="2C3AFCB7" w14:textId="6388E2FE" w:rsidR="00B459F1" w:rsidRPr="000914EA" w:rsidRDefault="00D93877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0914EA">
        <w:rPr>
          <w:rFonts w:cs="Calibri"/>
          <w:b/>
        </w:rPr>
        <w:t>[</w:t>
      </w:r>
      <w:r w:rsidR="00B459F1" w:rsidRPr="000914EA">
        <w:rPr>
          <w:rFonts w:cs="Calibri"/>
          <w:b/>
          <w:i/>
        </w:rPr>
        <w:t>FULL NAME</w:t>
      </w:r>
      <w:r w:rsidRPr="000914EA">
        <w:rPr>
          <w:rFonts w:cs="Calibri"/>
          <w:b/>
        </w:rPr>
        <w:t>]</w:t>
      </w:r>
    </w:p>
    <w:p w14:paraId="55EF0D81" w14:textId="71528B4D" w:rsidR="00B76F8B" w:rsidRPr="000914EA" w:rsidRDefault="00D93877" w:rsidP="00BA329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914EA">
        <w:rPr>
          <w:rFonts w:cs="Calibri"/>
          <w:b/>
        </w:rPr>
        <w:t>Respondent</w:t>
      </w:r>
      <w:bookmarkStart w:id="3" w:name="_Hlk39140678"/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567"/>
        <w:gridCol w:w="9467"/>
      </w:tblGrid>
      <w:tr w:rsidR="00984D08" w:rsidRPr="008853BC" w14:paraId="08FAB6BE" w14:textId="77777777" w:rsidTr="006112D2">
        <w:tc>
          <w:tcPr>
            <w:tcW w:w="5000" w:type="pct"/>
            <w:gridSpan w:val="3"/>
          </w:tcPr>
          <w:bookmarkEnd w:id="2"/>
          <w:bookmarkEnd w:id="3"/>
          <w:p w14:paraId="4EE5F4E4" w14:textId="1735ECC4" w:rsidR="00984D08" w:rsidRPr="001C3F56" w:rsidRDefault="00400023" w:rsidP="00613902">
            <w:pPr>
              <w:spacing w:before="240" w:after="12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66F09F4D" w14:textId="77777777" w:rsidR="00984D08" w:rsidRPr="001C3F56" w:rsidRDefault="00984D08" w:rsidP="00613902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1C3F56">
              <w:rPr>
                <w:rFonts w:cs="Arial"/>
                <w:b/>
              </w:rPr>
              <w:t>Hearing</w:t>
            </w:r>
          </w:p>
          <w:p w14:paraId="381C29F6" w14:textId="20DEBD25" w:rsidR="00984D08" w:rsidRPr="001C3F56" w:rsidRDefault="00984D08" w:rsidP="00613902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1C3F56">
              <w:rPr>
                <w:rFonts w:cs="Arial"/>
              </w:rPr>
              <w:t xml:space="preserve">Hearing Location: </w:t>
            </w:r>
            <w:r w:rsidR="00D93877" w:rsidRPr="001C3F56">
              <w:rPr>
                <w:rFonts w:cs="Arial"/>
              </w:rPr>
              <w:t>[</w:t>
            </w:r>
            <w:r w:rsidRPr="001C3F56">
              <w:rPr>
                <w:rFonts w:cs="Arial"/>
                <w:i/>
              </w:rPr>
              <w:t>suburb</w:t>
            </w:r>
            <w:r w:rsidR="00D93877" w:rsidRPr="001C3F56">
              <w:rPr>
                <w:rFonts w:cs="Arial"/>
              </w:rPr>
              <w:t>]</w:t>
            </w:r>
          </w:p>
          <w:p w14:paraId="2B8285CE" w14:textId="495F057A" w:rsidR="00984D08" w:rsidRPr="001C3F56" w:rsidRDefault="00D93877" w:rsidP="00613902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1C3F56">
              <w:rPr>
                <w:rFonts w:eastAsia="Arial" w:cs="Arial"/>
              </w:rPr>
              <w:t>[</w:t>
            </w:r>
            <w:r w:rsidR="00984D08" w:rsidRPr="001C3F56">
              <w:rPr>
                <w:rFonts w:eastAsia="Arial" w:cs="Arial"/>
                <w:i/>
              </w:rPr>
              <w:t>Hearing date</w:t>
            </w:r>
            <w:r w:rsidRPr="001C3F56">
              <w:rPr>
                <w:rFonts w:eastAsia="Arial" w:cs="Arial"/>
              </w:rPr>
              <w:t>]</w:t>
            </w:r>
            <w:r w:rsidR="00984D08" w:rsidRPr="001C3F56">
              <w:rPr>
                <w:rFonts w:eastAsia="Arial" w:cs="Arial"/>
              </w:rPr>
              <w:t xml:space="preserve"> </w:t>
            </w:r>
            <w:r w:rsidRPr="001C3F56">
              <w:rPr>
                <w:rFonts w:eastAsia="Arial" w:cs="Arial"/>
              </w:rPr>
              <w:t>[</w:t>
            </w:r>
            <w:r w:rsidR="00984D08" w:rsidRPr="001C3F56">
              <w:rPr>
                <w:rFonts w:eastAsia="Arial" w:cs="Arial"/>
                <w:i/>
              </w:rPr>
              <w:t>Listed starting time</w:t>
            </w:r>
            <w:r w:rsidRPr="001C3F56">
              <w:rPr>
                <w:rFonts w:eastAsia="Arial" w:cs="Arial"/>
              </w:rPr>
              <w:t>]</w:t>
            </w:r>
            <w:r w:rsidR="00984D08" w:rsidRPr="001C3F56" w:rsidDel="00A95CDA">
              <w:rPr>
                <w:rFonts w:eastAsia="Arial" w:cs="Arial"/>
              </w:rPr>
              <w:t xml:space="preserve"> </w:t>
            </w:r>
          </w:p>
          <w:p w14:paraId="4953F598" w14:textId="022CE1AE" w:rsidR="00984D08" w:rsidRPr="001C3F56" w:rsidRDefault="00984D08" w:rsidP="00613902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1C3F56">
              <w:rPr>
                <w:rFonts w:eastAsia="Arial" w:cs="Arial"/>
              </w:rPr>
              <w:t>Hearing type:</w:t>
            </w:r>
          </w:p>
          <w:p w14:paraId="0E139DA4" w14:textId="52D13C1D" w:rsidR="00984D08" w:rsidRPr="001C3F56" w:rsidRDefault="00D93877" w:rsidP="00613902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1C3F56">
              <w:rPr>
                <w:rFonts w:eastAsia="Arial" w:cs="Arial"/>
              </w:rPr>
              <w:t>[</w:t>
            </w:r>
            <w:r w:rsidR="00984D08" w:rsidRPr="001C3F56">
              <w:rPr>
                <w:rFonts w:eastAsia="Arial" w:cs="Arial"/>
                <w:i/>
              </w:rPr>
              <w:t>Presiding Officer</w:t>
            </w:r>
            <w:r w:rsidRPr="001C3F56">
              <w:rPr>
                <w:rFonts w:eastAsia="Arial" w:cs="Arial"/>
              </w:rPr>
              <w:t>]</w:t>
            </w:r>
          </w:p>
          <w:p w14:paraId="2193590C" w14:textId="77777777" w:rsidR="00984D08" w:rsidRPr="001C3F56" w:rsidRDefault="00984D08" w:rsidP="00B33FE9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1C3F56">
              <w:rPr>
                <w:rFonts w:cs="Arial"/>
                <w:b/>
              </w:rPr>
              <w:t>Appearances</w:t>
            </w:r>
          </w:p>
          <w:p w14:paraId="2CCBEB3D" w14:textId="44AD5444" w:rsidR="00984D08" w:rsidRPr="001C3F56" w:rsidRDefault="00D93877" w:rsidP="00613902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1C3F56">
              <w:rPr>
                <w:rFonts w:cs="Arial"/>
              </w:rPr>
              <w:t>[</w:t>
            </w:r>
            <w:r w:rsidR="00984D08" w:rsidRPr="001C3F56">
              <w:rPr>
                <w:rFonts w:cs="Arial"/>
                <w:i/>
              </w:rPr>
              <w:t>Applicant Appearance Information</w:t>
            </w:r>
            <w:r w:rsidRPr="001C3F56">
              <w:rPr>
                <w:rFonts w:cs="Arial"/>
              </w:rPr>
              <w:t>]</w:t>
            </w:r>
          </w:p>
          <w:p w14:paraId="42F34068" w14:textId="6A4057D0" w:rsidR="00984D08" w:rsidRPr="001C3F56" w:rsidRDefault="00400023" w:rsidP="00613902">
            <w:pPr>
              <w:spacing w:before="240" w:after="120" w:line="276" w:lineRule="auto"/>
              <w:rPr>
                <w:rFonts w:cs="Arial"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</w:tc>
      </w:tr>
      <w:tr w:rsidR="00984D08" w:rsidRPr="00984D08" w14:paraId="45BA37DA" w14:textId="77777777" w:rsidTr="006112D2">
        <w:tc>
          <w:tcPr>
            <w:tcW w:w="204" w:type="pct"/>
          </w:tcPr>
          <w:p w14:paraId="4D5BB461" w14:textId="77777777" w:rsidR="00984D08" w:rsidRPr="00984D08" w:rsidRDefault="00984D08" w:rsidP="00613902">
            <w:pPr>
              <w:pStyle w:val="ListParagraph"/>
              <w:numPr>
                <w:ilvl w:val="1"/>
                <w:numId w:val="29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66F46407" w14:textId="4488C0DD" w:rsidR="00984D08" w:rsidRPr="00984D08" w:rsidRDefault="00984D08" w:rsidP="00613902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5C1250FF" w14:textId="414CB62A" w:rsidR="00984D08" w:rsidRPr="001C3F56" w:rsidRDefault="00984D08" w:rsidP="00613902">
            <w:pPr>
              <w:spacing w:after="120" w:line="276" w:lineRule="auto"/>
              <w:rPr>
                <w:rFonts w:cs="Arial"/>
              </w:rPr>
            </w:pPr>
            <w:r w:rsidRPr="001C3F56">
              <w:rPr>
                <w:rFonts w:cs="Arial"/>
              </w:rPr>
              <w:t xml:space="preserve">The </w:t>
            </w:r>
            <w:r w:rsidR="00AD4827">
              <w:rPr>
                <w:rFonts w:cs="Arial"/>
              </w:rPr>
              <w:t xml:space="preserve">applicant has applied for an </w:t>
            </w:r>
            <w:r w:rsidR="008547F1">
              <w:rPr>
                <w:rFonts w:cs="Arial"/>
              </w:rPr>
              <w:t xml:space="preserve">Attachment </w:t>
            </w:r>
            <w:r w:rsidR="00AD4827">
              <w:rPr>
                <w:rFonts w:cs="Arial"/>
              </w:rPr>
              <w:t xml:space="preserve">Order in respect of money in the hands of or owing by the third person named below </w:t>
            </w:r>
            <w:r w:rsidR="00884E88">
              <w:rPr>
                <w:rFonts w:cs="Arial"/>
              </w:rPr>
              <w:t xml:space="preserve">for or </w:t>
            </w:r>
            <w:r w:rsidR="00AD4827">
              <w:rPr>
                <w:rFonts w:cs="Arial"/>
              </w:rPr>
              <w:t xml:space="preserve">to the </w:t>
            </w:r>
            <w:r w:rsidR="00C465EF">
              <w:rPr>
                <w:rFonts w:cs="Arial"/>
              </w:rPr>
              <w:t>Respondent</w:t>
            </w:r>
            <w:r w:rsidRPr="001C3F56">
              <w:rPr>
                <w:rFonts w:cs="Arial"/>
              </w:rPr>
              <w:t>.</w:t>
            </w:r>
          </w:p>
        </w:tc>
      </w:tr>
      <w:tr w:rsidR="00984D08" w:rsidRPr="00984D08" w14:paraId="01C92C8E" w14:textId="77777777" w:rsidTr="006112D2">
        <w:tc>
          <w:tcPr>
            <w:tcW w:w="204" w:type="pct"/>
          </w:tcPr>
          <w:p w14:paraId="3FE70F77" w14:textId="77777777" w:rsidR="00984D08" w:rsidRPr="00984D08" w:rsidRDefault="00984D08" w:rsidP="00613902">
            <w:pPr>
              <w:pStyle w:val="ListParagraph"/>
              <w:numPr>
                <w:ilvl w:val="1"/>
                <w:numId w:val="29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61331A0E" w14:textId="5223BBC3" w:rsidR="00984D08" w:rsidRPr="00984D08" w:rsidRDefault="00984D08" w:rsidP="00613902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13FD91A5" w14:textId="79417194" w:rsidR="00984D08" w:rsidRPr="001C3F56" w:rsidRDefault="00AD4827" w:rsidP="00613902">
            <w:pPr>
              <w:spacing w:after="120" w:line="276" w:lineRule="auto"/>
              <w:rPr>
                <w:rFonts w:eastAsia="Arial" w:cs="Arial"/>
              </w:rPr>
            </w:pPr>
            <w:r w:rsidRPr="001C3F56">
              <w:rPr>
                <w:rFonts w:cs="Arial"/>
              </w:rPr>
              <w:t>The Court has heard an Application in the [</w:t>
            </w:r>
            <w:r w:rsidRPr="001C3F56">
              <w:rPr>
                <w:rFonts w:cs="Arial"/>
                <w:i/>
              </w:rPr>
              <w:t>Respondent</w:t>
            </w:r>
            <w:r w:rsidR="00C465EF" w:rsidRPr="001C3F56" w:rsidDel="00C465EF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/Third Person</w:t>
            </w:r>
            <w:r w:rsidRPr="001C3F56">
              <w:rPr>
                <w:rFonts w:cs="Arial"/>
              </w:rPr>
              <w:t xml:space="preserve">]’s absence and is satisfied that an Interim </w:t>
            </w:r>
            <w:r>
              <w:rPr>
                <w:rFonts w:cs="Arial"/>
              </w:rPr>
              <w:t xml:space="preserve">Attachment </w:t>
            </w:r>
            <w:r w:rsidRPr="001C3F56">
              <w:rPr>
                <w:rFonts w:cs="Arial"/>
              </w:rPr>
              <w:t>Order should be made in the following terms.</w:t>
            </w:r>
          </w:p>
        </w:tc>
      </w:tr>
      <w:tr w:rsidR="00984D08" w:rsidRPr="00984D08" w14:paraId="40A0636E" w14:textId="77777777" w:rsidTr="006112D2">
        <w:tc>
          <w:tcPr>
            <w:tcW w:w="204" w:type="pct"/>
          </w:tcPr>
          <w:p w14:paraId="77E0705F" w14:textId="77777777" w:rsidR="00984D08" w:rsidRPr="00984D08" w:rsidRDefault="00984D08" w:rsidP="00613902">
            <w:pPr>
              <w:pStyle w:val="ListParagraph"/>
              <w:numPr>
                <w:ilvl w:val="0"/>
                <w:numId w:val="29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1918070E" w14:textId="1E492A17" w:rsidR="00984D08" w:rsidRPr="00984D08" w:rsidRDefault="00984D08" w:rsidP="00613902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1DBEED40" w14:textId="5438728E" w:rsidR="00984D08" w:rsidRPr="00984D08" w:rsidRDefault="00AD4827" w:rsidP="00613902">
            <w:pPr>
              <w:pStyle w:val="ListParagraph"/>
              <w:spacing w:after="120" w:line="276" w:lineRule="auto"/>
              <w:ind w:left="0"/>
              <w:contextualSpacing w:val="0"/>
              <w:rPr>
                <w:rFonts w:eastAsia="Arial" w:cs="Arial"/>
              </w:rPr>
            </w:pPr>
            <w:r w:rsidRPr="00D93877">
              <w:rPr>
                <w:rFonts w:eastAsia="Arial" w:cs="Arial"/>
              </w:rPr>
              <w:t>[</w:t>
            </w:r>
            <w:r w:rsidRPr="00984D08">
              <w:rPr>
                <w:rFonts w:eastAsia="Arial" w:cs="Arial"/>
                <w:i/>
              </w:rPr>
              <w:t>other</w:t>
            </w:r>
            <w:r>
              <w:rPr>
                <w:rFonts w:eastAsia="Arial" w:cs="Arial"/>
                <w:i/>
              </w:rPr>
              <w:t xml:space="preserve"> matters</w:t>
            </w:r>
            <w:r w:rsidRPr="00D93877">
              <w:rPr>
                <w:rFonts w:eastAsia="Arial" w:cs="Arial"/>
              </w:rPr>
              <w:t>]</w:t>
            </w:r>
            <w:r w:rsidR="00BB3BA5">
              <w:rPr>
                <w:rFonts w:eastAsia="Arial" w:cs="Arial"/>
              </w:rPr>
              <w:t>.</w:t>
            </w:r>
          </w:p>
        </w:tc>
      </w:tr>
    </w:tbl>
    <w:p w14:paraId="03F354F9" w14:textId="6E1FA4B1" w:rsidR="00984D08" w:rsidRDefault="00984D08" w:rsidP="00613902">
      <w:pPr>
        <w:spacing w:before="120" w:after="120"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383"/>
        <w:gridCol w:w="9702"/>
      </w:tblGrid>
      <w:tr w:rsidR="008853BC" w:rsidRPr="008853BC" w14:paraId="7AB24B56" w14:textId="77777777" w:rsidTr="00CB1455">
        <w:tc>
          <w:tcPr>
            <w:tcW w:w="5000" w:type="pct"/>
            <w:gridSpan w:val="3"/>
          </w:tcPr>
          <w:p w14:paraId="15FD684F" w14:textId="77777777" w:rsidR="006539E1" w:rsidRPr="00053E38" w:rsidRDefault="006539E1" w:rsidP="00B33FE9">
            <w:pPr>
              <w:tabs>
                <w:tab w:val="left" w:pos="454"/>
              </w:tabs>
              <w:spacing w:before="240" w:after="240" w:line="276" w:lineRule="auto"/>
              <w:ind w:right="57"/>
              <w:rPr>
                <w:rFonts w:cs="Arial"/>
                <w:b/>
                <w:sz w:val="22"/>
                <w:szCs w:val="22"/>
                <w:lang w:val="en-AU"/>
              </w:rPr>
            </w:pPr>
            <w:r w:rsidRPr="00053E38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 xml:space="preserve">Order </w:t>
            </w:r>
          </w:p>
          <w:p w14:paraId="35975A1E" w14:textId="5BAD7D92" w:rsidR="006539E1" w:rsidRPr="00053E38" w:rsidRDefault="006539E1" w:rsidP="00613902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053E38">
              <w:rPr>
                <w:rFonts w:cs="Arial"/>
                <w:b/>
                <w:lang w:val="en-AU"/>
              </w:rPr>
              <w:t>Date of Order</w:t>
            </w:r>
            <w:r w:rsidRPr="00053E38">
              <w:rPr>
                <w:rFonts w:cs="Arial"/>
                <w:lang w:val="en-AU"/>
              </w:rPr>
              <w:t xml:space="preserve">: </w:t>
            </w:r>
            <w:r w:rsidR="00D93877" w:rsidRPr="00053E38">
              <w:rPr>
                <w:rFonts w:eastAsia="Arial" w:cs="Arial"/>
                <w:lang w:val="en-AU"/>
              </w:rPr>
              <w:t>[</w:t>
            </w:r>
            <w:r w:rsidRPr="00053E38">
              <w:rPr>
                <w:rFonts w:eastAsia="Arial" w:cs="Arial"/>
                <w:i/>
                <w:lang w:val="en-AU"/>
              </w:rPr>
              <w:t>date</w:t>
            </w:r>
            <w:r w:rsidR="00D93877" w:rsidRPr="00053E38">
              <w:rPr>
                <w:rFonts w:eastAsia="Arial" w:cs="Arial"/>
                <w:lang w:val="en-AU"/>
              </w:rPr>
              <w:t>]</w:t>
            </w:r>
          </w:p>
          <w:p w14:paraId="0A690C51" w14:textId="77777777" w:rsidR="006539E1" w:rsidRPr="00053E38" w:rsidRDefault="006539E1" w:rsidP="00B33FE9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53E38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Terms of Order </w:t>
            </w:r>
          </w:p>
          <w:p w14:paraId="7B0A239D" w14:textId="77777777" w:rsidR="006539E1" w:rsidRPr="00053E38" w:rsidRDefault="006539E1" w:rsidP="00613902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 w:rsidRPr="00053E38">
              <w:rPr>
                <w:rFonts w:cs="Arial"/>
                <w:lang w:val="en-AU"/>
              </w:rPr>
              <w:t>It is ordered that:</w:t>
            </w:r>
          </w:p>
          <w:p w14:paraId="5BEBA8A9" w14:textId="2EE93827" w:rsidR="00884E88" w:rsidRPr="00884E88" w:rsidRDefault="006539E1" w:rsidP="00613902">
            <w:pPr>
              <w:spacing w:after="120" w:line="276" w:lineRule="auto"/>
              <w:rPr>
                <w:rFonts w:asciiTheme="minorHAnsi" w:hAnsiTheme="minorHAnsi" w:cstheme="minorHAnsi"/>
                <w:lang w:val="en-AU"/>
              </w:rPr>
            </w:pPr>
            <w:r w:rsidRPr="00053E38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</w:tc>
      </w:tr>
      <w:tr w:rsidR="00346F9F" w:rsidRPr="006539E1" w14:paraId="4B229A70" w14:textId="77777777" w:rsidTr="00BB3BA5">
        <w:trPr>
          <w:trHeight w:val="1511"/>
        </w:trPr>
        <w:tc>
          <w:tcPr>
            <w:tcW w:w="204" w:type="pct"/>
          </w:tcPr>
          <w:p w14:paraId="33FD8674" w14:textId="4E8C9809" w:rsidR="00B33FE9" w:rsidRPr="00B33FE9" w:rsidRDefault="00B33FE9" w:rsidP="00B33FE9">
            <w:pPr>
              <w:widowControl w:val="0"/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135" w:type="pct"/>
          </w:tcPr>
          <w:p w14:paraId="224A3C50" w14:textId="0FD6E051" w:rsidR="00B33FE9" w:rsidRPr="00B33FE9" w:rsidRDefault="00346F9F" w:rsidP="00B33FE9">
            <w:pPr>
              <w:pStyle w:val="ListParagraph"/>
              <w:widowControl w:val="0"/>
              <w:tabs>
                <w:tab w:val="left" w:pos="739"/>
              </w:tabs>
              <w:spacing w:after="120" w:line="276" w:lineRule="auto"/>
              <w:ind w:left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1.</w:t>
            </w:r>
          </w:p>
        </w:tc>
        <w:tc>
          <w:tcPr>
            <w:tcW w:w="4661" w:type="pct"/>
          </w:tcPr>
          <w:p w14:paraId="7F005750" w14:textId="7B18CCD4" w:rsidR="00B33FE9" w:rsidRPr="00BB3BA5" w:rsidRDefault="00346F9F" w:rsidP="00BB3BA5">
            <w:pPr>
              <w:spacing w:after="120" w:line="276" w:lineRule="auto"/>
              <w:ind w:right="57"/>
              <w:jc w:val="left"/>
              <w:rPr>
                <w:rFonts w:eastAsia="Arial" w:cs="Arial"/>
                <w:lang w:val="en-AU"/>
              </w:rPr>
            </w:pPr>
            <w:r w:rsidRPr="00BB3BA5">
              <w:rPr>
                <w:rFonts w:cs="Arial"/>
              </w:rPr>
              <w:t xml:space="preserve">Pursuant to section 24 of the </w:t>
            </w:r>
            <w:r w:rsidRPr="00BB3BA5">
              <w:rPr>
                <w:rFonts w:cs="Arial"/>
                <w:i/>
              </w:rPr>
              <w:t>Intervention Orders (Prevention of Abuse) Act 2009</w:t>
            </w:r>
            <w:r w:rsidRPr="00BB3BA5">
              <w:rPr>
                <w:rFonts w:cs="Arial"/>
              </w:rPr>
              <w:t>, [</w:t>
            </w:r>
            <w:r w:rsidRPr="00BB3BA5">
              <w:rPr>
                <w:rFonts w:cs="Arial"/>
                <w:i/>
                <w:iCs/>
              </w:rPr>
              <w:t xml:space="preserve">full name of </w:t>
            </w:r>
            <w:r w:rsidRPr="00BB3BA5">
              <w:rPr>
                <w:rFonts w:cs="Arial"/>
                <w:i/>
              </w:rPr>
              <w:t>third person</w:t>
            </w:r>
            <w:r w:rsidRPr="00BB3BA5">
              <w:rPr>
                <w:rFonts w:cs="Arial"/>
              </w:rPr>
              <w:t xml:space="preserve">] be retrained from dealing with  money </w:t>
            </w:r>
            <w:r w:rsidRPr="00BB3BA5">
              <w:rPr>
                <w:rFonts w:cs="Arial"/>
                <w:iCs/>
              </w:rPr>
              <w:t>owing or accruing</w:t>
            </w:r>
            <w:r w:rsidRPr="00BB3BA5">
              <w:rPr>
                <w:rFonts w:cs="Arial"/>
              </w:rPr>
              <w:t xml:space="preserve"> to the Respondent from [</w:t>
            </w:r>
            <w:r w:rsidRPr="00BB3BA5">
              <w:rPr>
                <w:rFonts w:cs="Arial"/>
                <w:i/>
              </w:rPr>
              <w:t>third person</w:t>
            </w:r>
            <w:r w:rsidRPr="00BB3BA5">
              <w:rPr>
                <w:rFonts w:cs="Arial"/>
              </w:rPr>
              <w:t>] or of the Respondent in the hands of [</w:t>
            </w:r>
            <w:r w:rsidRPr="00BB3BA5">
              <w:rPr>
                <w:rFonts w:cs="Arial"/>
                <w:i/>
              </w:rPr>
              <w:t>third person</w:t>
            </w:r>
            <w:r w:rsidRPr="00BB3BA5">
              <w:rPr>
                <w:rFonts w:cs="Arial"/>
              </w:rPr>
              <w:t>] (including money in an ADI account) until the </w:t>
            </w:r>
            <w:hyperlink r:id="rId8" w:anchor="respondent" w:history="1">
              <w:r w:rsidRPr="00BB3BA5">
                <w:rPr>
                  <w:rFonts w:cs="Arial"/>
                </w:rPr>
                <w:t>R</w:t>
              </w:r>
              <w:r w:rsidRPr="00BB3BA5">
                <w:rPr>
                  <w:rFonts w:eastAsiaTheme="majorEastAsia" w:cs="Arial"/>
                </w:rPr>
                <w:t>espondent</w:t>
              </w:r>
            </w:hyperlink>
            <w:r w:rsidRPr="00BB3BA5">
              <w:rPr>
                <w:rFonts w:cs="Arial"/>
              </w:rPr>
              <w:t> and the third person have had an opportunity to be heard in the proceeding.</w:t>
            </w:r>
          </w:p>
        </w:tc>
      </w:tr>
      <w:tr w:rsidR="00346F9F" w:rsidRPr="006539E1" w14:paraId="2D8E5FEA" w14:textId="77777777" w:rsidTr="00BB3BA5">
        <w:tc>
          <w:tcPr>
            <w:tcW w:w="204" w:type="pct"/>
          </w:tcPr>
          <w:p w14:paraId="25B29AE3" w14:textId="3E0AD768" w:rsidR="00346F9F" w:rsidRPr="00BB3BA5" w:rsidRDefault="00346F9F" w:rsidP="00BB3BA5">
            <w:pPr>
              <w:pStyle w:val="ListParagraph"/>
              <w:numPr>
                <w:ilvl w:val="0"/>
                <w:numId w:val="41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135" w:type="pct"/>
          </w:tcPr>
          <w:p w14:paraId="4C4255ED" w14:textId="37B35E93" w:rsidR="00346F9F" w:rsidRPr="00053E38" w:rsidRDefault="00346F9F" w:rsidP="00613902">
            <w:pPr>
              <w:pStyle w:val="ListParagraph"/>
              <w:widowControl w:val="0"/>
              <w:tabs>
                <w:tab w:val="left" w:pos="739"/>
              </w:tabs>
              <w:spacing w:after="120" w:line="276" w:lineRule="auto"/>
              <w:ind w:left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2.</w:t>
            </w:r>
          </w:p>
        </w:tc>
        <w:tc>
          <w:tcPr>
            <w:tcW w:w="4661" w:type="pct"/>
          </w:tcPr>
          <w:p w14:paraId="64806ACE" w14:textId="4FD44582" w:rsidR="00346F9F" w:rsidRPr="00B1322E" w:rsidRDefault="00346F9F" w:rsidP="00613902">
            <w:pPr>
              <w:tabs>
                <w:tab w:val="left" w:pos="739"/>
              </w:tabs>
              <w:spacing w:after="120" w:line="276" w:lineRule="auto"/>
              <w:rPr>
                <w:rFonts w:cs="Arial"/>
                <w:szCs w:val="24"/>
                <w:lang w:val="en-AU"/>
              </w:rPr>
            </w:pPr>
            <w:r>
              <w:rPr>
                <w:rFonts w:cs="Arial"/>
                <w:iCs/>
              </w:rPr>
              <w:t>A summons issue to the [</w:t>
            </w:r>
            <w:r w:rsidRPr="00346F9F">
              <w:rPr>
                <w:rFonts w:cs="Arial"/>
                <w:i/>
              </w:rPr>
              <w:t>the Respondent/the third person</w:t>
            </w:r>
            <w:r>
              <w:rPr>
                <w:rFonts w:cs="Arial"/>
                <w:iCs/>
              </w:rPr>
              <w:t>] returnable</w:t>
            </w:r>
            <w:r w:rsidR="00276E67">
              <w:rPr>
                <w:rFonts w:cs="Arial"/>
                <w:iCs/>
              </w:rPr>
              <w:t xml:space="preserve"> on</w:t>
            </w:r>
            <w:r>
              <w:rPr>
                <w:rFonts w:cs="Arial"/>
                <w:iCs/>
              </w:rPr>
              <w:t xml:space="preserve"> the date and time and at the place </w:t>
            </w:r>
            <w:r w:rsidR="00276E67" w:rsidRPr="001C3F56">
              <w:rPr>
                <w:rFonts w:cs="Arial"/>
                <w:lang w:val="en-AU"/>
              </w:rPr>
              <w:t>set out at the top of this document</w:t>
            </w:r>
            <w:r w:rsidR="00276E67" w:rsidDel="00276E67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 xml:space="preserve">to attend and be heard whether a final </w:t>
            </w:r>
            <w:r>
              <w:rPr>
                <w:rFonts w:cs="Arial"/>
              </w:rPr>
              <w:t>Attachment Order should be made</w:t>
            </w:r>
            <w:r w:rsidRPr="00517E8E">
              <w:rPr>
                <w:rFonts w:cs="Arial"/>
              </w:rPr>
              <w:t>.</w:t>
            </w:r>
          </w:p>
        </w:tc>
      </w:tr>
      <w:tr w:rsidR="00884E88" w:rsidRPr="006539E1" w14:paraId="7FE49F37" w14:textId="77777777" w:rsidTr="00BB3BA5">
        <w:tc>
          <w:tcPr>
            <w:tcW w:w="204" w:type="pct"/>
          </w:tcPr>
          <w:p w14:paraId="1FC6AA00" w14:textId="52ED3925" w:rsidR="00884E88" w:rsidRPr="00BB3BA5" w:rsidRDefault="00884E88" w:rsidP="00BB3BA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135" w:type="pct"/>
          </w:tcPr>
          <w:p w14:paraId="34715F2F" w14:textId="244BC668" w:rsidR="00884E88" w:rsidRPr="00053E38" w:rsidRDefault="00884E88" w:rsidP="00613902">
            <w:pPr>
              <w:pStyle w:val="ListParagraph"/>
              <w:widowControl w:val="0"/>
              <w:tabs>
                <w:tab w:val="left" w:pos="739"/>
              </w:tabs>
              <w:spacing w:after="120" w:line="276" w:lineRule="auto"/>
              <w:ind w:left="0"/>
              <w:rPr>
                <w:rFonts w:eastAsia="Arial" w:cs="Arial"/>
                <w:lang w:val="en-AU"/>
              </w:rPr>
            </w:pPr>
            <w:r>
              <w:rPr>
                <w:rFonts w:eastAsia="Arial" w:cs="Arial"/>
                <w:lang w:val="en-AU"/>
              </w:rPr>
              <w:t>3.</w:t>
            </w:r>
          </w:p>
        </w:tc>
        <w:tc>
          <w:tcPr>
            <w:tcW w:w="4661" w:type="pct"/>
          </w:tcPr>
          <w:p w14:paraId="00FCDE31" w14:textId="004FAE93" w:rsidR="00884E88" w:rsidRPr="00053E38" w:rsidRDefault="00884E88" w:rsidP="00613902">
            <w:pPr>
              <w:spacing w:after="120" w:line="276" w:lineRule="auto"/>
              <w:rPr>
                <w:b/>
                <w:sz w:val="12"/>
                <w:lang w:val="en-AU"/>
              </w:rPr>
            </w:pPr>
            <w:r w:rsidRPr="00053E38">
              <w:rPr>
                <w:rFonts w:eastAsia="Arial" w:cs="Arial"/>
                <w:lang w:val="en-AU"/>
              </w:rPr>
              <w:t>[</w:t>
            </w:r>
            <w:r w:rsidRPr="00053E38">
              <w:rPr>
                <w:rFonts w:eastAsia="Arial" w:cs="Arial"/>
                <w:i/>
                <w:lang w:val="en-AU"/>
              </w:rPr>
              <w:t>other orders</w:t>
            </w:r>
            <w:r w:rsidRPr="00053E38">
              <w:rPr>
                <w:rFonts w:eastAsia="Arial" w:cs="Arial"/>
                <w:lang w:val="en-AU"/>
              </w:rPr>
              <w:t>]</w:t>
            </w:r>
          </w:p>
        </w:tc>
      </w:tr>
    </w:tbl>
    <w:p w14:paraId="4A9AD7ED" w14:textId="242A31E0" w:rsidR="00FB11BF" w:rsidRPr="001C3F56" w:rsidRDefault="00FB11BF" w:rsidP="00613902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853BC" w:rsidRPr="008853BC" w14:paraId="15F4EBCC" w14:textId="77777777" w:rsidTr="00A4450B">
        <w:tc>
          <w:tcPr>
            <w:tcW w:w="5000" w:type="pct"/>
          </w:tcPr>
          <w:p w14:paraId="315A6A7A" w14:textId="3BD53FB4" w:rsidR="00A4450B" w:rsidRPr="001C3F56" w:rsidRDefault="00A4450B" w:rsidP="00B33FE9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r w:rsidRPr="001C3F56">
              <w:rPr>
                <w:rFonts w:cs="Arial"/>
                <w:b/>
                <w:lang w:val="en-AU"/>
              </w:rPr>
              <w:t xml:space="preserve">To the </w:t>
            </w:r>
            <w:r w:rsidR="00C465EF">
              <w:rPr>
                <w:rFonts w:cs="Arial"/>
                <w:b/>
                <w:lang w:val="en-AU"/>
              </w:rPr>
              <w:t>Respondent</w:t>
            </w:r>
            <w:r w:rsidR="004E07E9">
              <w:rPr>
                <w:rFonts w:cs="Arial"/>
                <w:b/>
                <w:lang w:val="en-AU"/>
              </w:rPr>
              <w:t xml:space="preserve"> and the Third Person</w:t>
            </w:r>
            <w:r w:rsidRPr="001C3F56">
              <w:rPr>
                <w:rFonts w:cs="Arial"/>
                <w:b/>
                <w:lang w:val="en-AU"/>
              </w:rPr>
              <w:t>:</w:t>
            </w:r>
            <w:r w:rsidRPr="001C3F56">
              <w:rPr>
                <w:rFonts w:eastAsia="Arial" w:cs="Arial"/>
                <w:lang w:val="en-AU"/>
              </w:rPr>
              <w:t xml:space="preserve"> </w:t>
            </w:r>
            <w:r w:rsidRPr="001C3F56">
              <w:rPr>
                <w:rFonts w:cs="Arial"/>
                <w:b/>
                <w:lang w:val="en-AU"/>
              </w:rPr>
              <w:t>WARNING</w:t>
            </w:r>
          </w:p>
          <w:p w14:paraId="2AD8A8A1" w14:textId="10C33684" w:rsidR="002060C7" w:rsidRPr="001C3F56" w:rsidRDefault="002060C7" w:rsidP="00613902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 xml:space="preserve">The Court will hear the </w:t>
            </w:r>
            <w:r w:rsidR="009B35A9" w:rsidRPr="001C3F56">
              <w:rPr>
                <w:rFonts w:cs="Arial"/>
                <w:lang w:val="en-AU"/>
              </w:rPr>
              <w:t>A</w:t>
            </w:r>
            <w:r w:rsidRPr="001C3F56">
              <w:rPr>
                <w:rFonts w:cs="Arial"/>
                <w:lang w:val="en-AU"/>
              </w:rPr>
              <w:t xml:space="preserve">pplication, or make </w:t>
            </w:r>
            <w:r w:rsidR="00055089" w:rsidRPr="001C3F56">
              <w:rPr>
                <w:rFonts w:cs="Arial"/>
                <w:lang w:val="en-AU"/>
              </w:rPr>
              <w:t>o</w:t>
            </w:r>
            <w:r w:rsidRPr="001C3F56">
              <w:rPr>
                <w:rFonts w:cs="Arial"/>
                <w:lang w:val="en-AU"/>
              </w:rPr>
              <w:t xml:space="preserve">rders for the hearing of the </w:t>
            </w:r>
            <w:r w:rsidR="009B35A9" w:rsidRPr="001C3F56">
              <w:rPr>
                <w:rFonts w:cs="Arial"/>
                <w:lang w:val="en-AU"/>
              </w:rPr>
              <w:t>A</w:t>
            </w:r>
            <w:r w:rsidRPr="001C3F56">
              <w:rPr>
                <w:rFonts w:cs="Arial"/>
                <w:lang w:val="en-AU"/>
              </w:rPr>
              <w:t>pplication, at the hearing</w:t>
            </w:r>
            <w:r w:rsidR="004E07E9">
              <w:rPr>
                <w:rFonts w:cs="Arial"/>
                <w:lang w:val="en-AU"/>
              </w:rPr>
              <w:t xml:space="preserve"> </w:t>
            </w:r>
            <w:r w:rsidR="004E07E9" w:rsidRPr="001C3F56">
              <w:rPr>
                <w:rFonts w:cs="Arial"/>
                <w:lang w:val="en-AU"/>
              </w:rPr>
              <w:t>at the date and time set out at the top of this document</w:t>
            </w:r>
            <w:r w:rsidRPr="001C3F56">
              <w:rPr>
                <w:rFonts w:cs="Arial"/>
                <w:lang w:val="en-AU"/>
              </w:rPr>
              <w:t>.</w:t>
            </w:r>
          </w:p>
          <w:p w14:paraId="61360B50" w14:textId="796B5FF0" w:rsidR="002060C7" w:rsidRPr="0018212F" w:rsidRDefault="002060C7" w:rsidP="00613902">
            <w:pPr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1C3F56">
              <w:rPr>
                <w:rFonts w:cs="Arial"/>
                <w:lang w:val="en-AU"/>
              </w:rPr>
              <w:t>If you wish to oppose the Application or make submissions about it</w:t>
            </w:r>
            <w:r w:rsidR="0018212F">
              <w:rPr>
                <w:rFonts w:cs="Arial"/>
                <w:lang w:val="en-AU"/>
              </w:rPr>
              <w:t xml:space="preserve">, </w:t>
            </w:r>
            <w:r w:rsidRPr="0018212F">
              <w:rPr>
                <w:rFonts w:cs="Arial"/>
                <w:lang w:val="en-AU"/>
              </w:rPr>
              <w:t xml:space="preserve">you </w:t>
            </w:r>
            <w:r w:rsidRPr="0018212F">
              <w:rPr>
                <w:rFonts w:cs="Arial"/>
                <w:b/>
                <w:lang w:val="en-AU"/>
              </w:rPr>
              <w:t>must</w:t>
            </w:r>
            <w:r w:rsidRPr="0018212F">
              <w:rPr>
                <w:rFonts w:cs="Arial"/>
                <w:lang w:val="en-AU"/>
              </w:rPr>
              <w:t xml:space="preserve"> </w:t>
            </w:r>
            <w:r w:rsidRPr="0018212F">
              <w:rPr>
                <w:rFonts w:cs="Arial"/>
                <w:b/>
                <w:lang w:val="en-AU"/>
              </w:rPr>
              <w:t>attend the hearing</w:t>
            </w:r>
            <w:r w:rsidR="0018212F">
              <w:rPr>
                <w:rFonts w:cs="Arial"/>
                <w:lang w:val="en-AU"/>
              </w:rPr>
              <w:t>.</w:t>
            </w:r>
            <w:r w:rsidRPr="0018212F">
              <w:rPr>
                <w:rFonts w:cs="Arial"/>
                <w:lang w:val="en-AU"/>
              </w:rPr>
              <w:t xml:space="preserve"> </w:t>
            </w:r>
          </w:p>
          <w:p w14:paraId="20AB0B3F" w14:textId="652DAC9B" w:rsidR="00884E88" w:rsidRDefault="002060C7" w:rsidP="00B33FE9">
            <w:pPr>
              <w:spacing w:before="240" w:line="276" w:lineRule="auto"/>
              <w:jc w:val="left"/>
              <w:rPr>
                <w:rFonts w:cs="Arial"/>
                <w:b/>
                <w:lang w:val="en-AU"/>
              </w:rPr>
            </w:pPr>
            <w:r w:rsidRPr="001C3F56">
              <w:rPr>
                <w:rFonts w:cs="Arial"/>
                <w:lang w:val="en-AU"/>
              </w:rPr>
              <w:t>If you do not appear at the hearing or on any day to</w:t>
            </w:r>
            <w:r w:rsidR="00C86A45">
              <w:rPr>
                <w:rFonts w:cs="Arial"/>
                <w:lang w:val="en-AU"/>
              </w:rPr>
              <w:t xml:space="preserve"> which this matter is adjourned, </w:t>
            </w:r>
            <w:r w:rsidRPr="001C3F56">
              <w:rPr>
                <w:rFonts w:cs="Arial"/>
                <w:lang w:val="en-AU"/>
              </w:rPr>
              <w:t>the Court may</w:t>
            </w:r>
            <w:r w:rsidRPr="001C3F56">
              <w:rPr>
                <w:rFonts w:cs="Arial"/>
                <w:szCs w:val="22"/>
                <w:lang w:val="en-AU"/>
              </w:rPr>
              <w:t xml:space="preserve"> proceed in your absence</w:t>
            </w:r>
            <w:r w:rsidR="00055089" w:rsidRPr="001C3F56">
              <w:rPr>
                <w:rFonts w:cs="Arial"/>
                <w:lang w:val="en-AU"/>
              </w:rPr>
              <w:t xml:space="preserve"> and o</w:t>
            </w:r>
            <w:r w:rsidRPr="001C3F56">
              <w:rPr>
                <w:rFonts w:cs="Arial"/>
                <w:lang w:val="en-AU"/>
              </w:rPr>
              <w:t xml:space="preserve">rders may be made against you </w:t>
            </w:r>
            <w:r w:rsidRPr="001C3F56">
              <w:rPr>
                <w:rFonts w:cs="Arial"/>
                <w:b/>
                <w:lang w:val="en-AU"/>
              </w:rPr>
              <w:t>finally determining</w:t>
            </w:r>
            <w:r w:rsidRPr="001C3F56">
              <w:rPr>
                <w:rFonts w:cs="Arial"/>
                <w:lang w:val="en-AU"/>
              </w:rPr>
              <w:t xml:space="preserve"> this proceeding without further warning.</w:t>
            </w:r>
          </w:p>
          <w:p w14:paraId="6DA7D0F6" w14:textId="5CDB23D0" w:rsidR="00884E88" w:rsidRPr="001C3F56" w:rsidRDefault="00884E88" w:rsidP="00B33FE9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r w:rsidRPr="001C3F56">
              <w:rPr>
                <w:rFonts w:cs="Arial"/>
                <w:b/>
                <w:lang w:val="en-AU"/>
              </w:rPr>
              <w:t xml:space="preserve">To the </w:t>
            </w:r>
            <w:r>
              <w:rPr>
                <w:rFonts w:cs="Arial"/>
                <w:b/>
                <w:lang w:val="en-AU"/>
              </w:rPr>
              <w:t>Third Person</w:t>
            </w:r>
            <w:r w:rsidRPr="001C3F56">
              <w:rPr>
                <w:rFonts w:cs="Arial"/>
                <w:b/>
                <w:lang w:val="en-AU"/>
              </w:rPr>
              <w:t>:</w:t>
            </w:r>
            <w:r w:rsidRPr="001C3F56">
              <w:rPr>
                <w:rFonts w:eastAsia="Arial" w:cs="Arial"/>
                <w:lang w:val="en-AU"/>
              </w:rPr>
              <w:t xml:space="preserve"> </w:t>
            </w:r>
            <w:r w:rsidRPr="001C3F56">
              <w:rPr>
                <w:rFonts w:cs="Arial"/>
                <w:b/>
                <w:lang w:val="en-AU"/>
              </w:rPr>
              <w:t>WARNING</w:t>
            </w:r>
          </w:p>
          <w:p w14:paraId="2B1EF91A" w14:textId="24439A91" w:rsidR="00884E88" w:rsidRPr="001C3F56" w:rsidRDefault="00884E88" w:rsidP="00B33FE9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AU"/>
              </w:rPr>
            </w:pPr>
            <w:r w:rsidRPr="00884E88">
              <w:rPr>
                <w:rFonts w:cs="Arial"/>
              </w:rPr>
              <w:t>If you do not comply with this order, you will become personally liable for payment to the beneficiaries of the amount unpaid in breach of the order.</w:t>
            </w:r>
          </w:p>
          <w:p w14:paraId="1AADC5D9" w14:textId="0CBE738F" w:rsidR="0057139C" w:rsidRDefault="0057139C" w:rsidP="0061390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you are an employer of the </w:t>
            </w:r>
            <w:r w:rsidR="00C465EF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, you will be guilty of an offence if you, because of </w:t>
            </w:r>
            <w:r w:rsidRPr="00AF70CD">
              <w:rPr>
                <w:rFonts w:cs="Arial"/>
              </w:rPr>
              <w:t>the order</w:t>
            </w:r>
            <w:r>
              <w:rPr>
                <w:rFonts w:cs="Arial"/>
              </w:rPr>
              <w:t>:</w:t>
            </w:r>
          </w:p>
          <w:p w14:paraId="178BE52F" w14:textId="77777777" w:rsidR="0057139C" w:rsidRPr="00AD4D70" w:rsidRDefault="0057139C" w:rsidP="00613902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AD4D70">
              <w:rPr>
                <w:rFonts w:cs="Arial"/>
              </w:rPr>
              <w:t>dismiss the employee,</w:t>
            </w:r>
          </w:p>
          <w:p w14:paraId="6CE3FD42" w14:textId="77777777" w:rsidR="0057139C" w:rsidRPr="00AD4D70" w:rsidRDefault="0057139C" w:rsidP="00613902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AD4D70">
              <w:rPr>
                <w:rFonts w:cs="Arial"/>
              </w:rPr>
              <w:t>injure the employee in employment, or</w:t>
            </w:r>
          </w:p>
          <w:p w14:paraId="0177CE3B" w14:textId="77777777" w:rsidR="0057139C" w:rsidRPr="00AD4D70" w:rsidRDefault="0057139C" w:rsidP="00613902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AD4D70">
              <w:rPr>
                <w:rFonts w:cs="Arial"/>
              </w:rPr>
              <w:t>alter the employee’s position to the employee’s prejudice.</w:t>
            </w:r>
          </w:p>
          <w:p w14:paraId="6C2F6DA5" w14:textId="4D25A6B5" w:rsidR="0057139C" w:rsidRPr="00D03A5E" w:rsidRDefault="00AD4D70" w:rsidP="0061390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57139C" w:rsidRPr="00D03A5E">
              <w:rPr>
                <w:rFonts w:cs="Arial"/>
              </w:rPr>
              <w:t xml:space="preserve">Maximum penalty is </w:t>
            </w:r>
            <w:r w:rsidR="0057139C" w:rsidRPr="0057139C">
              <w:rPr>
                <w:rFonts w:cs="Arial"/>
              </w:rPr>
              <w:t>$10,000</w:t>
            </w:r>
            <w:r w:rsidR="0057139C" w:rsidRPr="00D03A5E">
              <w:rPr>
                <w:rFonts w:cs="Arial"/>
              </w:rPr>
              <w:t>.</w:t>
            </w:r>
          </w:p>
          <w:p w14:paraId="1883DE54" w14:textId="27A9B754" w:rsidR="00A4450B" w:rsidRPr="00DC55FB" w:rsidRDefault="0057139C" w:rsidP="0061390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AU"/>
              </w:rPr>
            </w:pPr>
            <w:r w:rsidRPr="002F296E">
              <w:rPr>
                <w:rFonts w:cs="Arial"/>
              </w:rPr>
              <w:t xml:space="preserve">Compensation for expenses incurred by you in complying with this order </w:t>
            </w:r>
            <w:r w:rsidR="00C44EBA" w:rsidRPr="002F296E">
              <w:rPr>
                <w:rFonts w:cs="Arial"/>
              </w:rPr>
              <w:t xml:space="preserve">or a final attachment order </w:t>
            </w:r>
            <w:r w:rsidRPr="002F296E">
              <w:rPr>
                <w:rFonts w:cs="Arial"/>
              </w:rPr>
              <w:t>may be ordered by the Court.</w:t>
            </w:r>
          </w:p>
        </w:tc>
      </w:tr>
    </w:tbl>
    <w:p w14:paraId="748405AD" w14:textId="6D469173" w:rsidR="00A4450B" w:rsidRPr="008853BC" w:rsidRDefault="00A4450B" w:rsidP="00613902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5D31" w:rsidRPr="00545935" w14:paraId="031DE65F" w14:textId="77777777" w:rsidTr="00D60F0E">
        <w:trPr>
          <w:cantSplit/>
        </w:trPr>
        <w:tc>
          <w:tcPr>
            <w:tcW w:w="10457" w:type="dxa"/>
          </w:tcPr>
          <w:p w14:paraId="44BBF309" w14:textId="77777777" w:rsidR="00B75D31" w:rsidRPr="00545935" w:rsidRDefault="00B75D31" w:rsidP="00B33FE9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967716A" w14:textId="77777777" w:rsidR="00B75D31" w:rsidRPr="00545935" w:rsidRDefault="00B75D31" w:rsidP="00613902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1076E4D9" w14:textId="30658355" w:rsidR="00B75D31" w:rsidRDefault="00B75D31" w:rsidP="00613902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</w:t>
            </w:r>
            <w:r w:rsidR="0097229C">
              <w:rPr>
                <w:rFonts w:cs="Arial"/>
              </w:rPr>
              <w:t xml:space="preserve"> 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C361DB1" w14:textId="77777777" w:rsidR="00B75D31" w:rsidRPr="00545935" w:rsidRDefault="00B75D31" w:rsidP="00613902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3AF31381" w14:textId="77777777" w:rsidR="003637A7" w:rsidRPr="008853BC" w:rsidRDefault="003637A7" w:rsidP="00613902">
      <w:pPr>
        <w:spacing w:before="120" w:after="120" w:line="276" w:lineRule="auto"/>
        <w:rPr>
          <w:rFonts w:cs="Arial"/>
        </w:rPr>
      </w:pPr>
    </w:p>
    <w:sectPr w:rsidR="003637A7" w:rsidRPr="008853BC" w:rsidSect="00CB1455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97CA" w14:textId="77777777" w:rsidR="00545935" w:rsidRDefault="00545935" w:rsidP="00545935">
      <w:r>
        <w:separator/>
      </w:r>
    </w:p>
  </w:endnote>
  <w:endnote w:type="continuationSeparator" w:id="0">
    <w:p w14:paraId="3FE77D11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207F" w14:textId="77777777" w:rsidR="00545935" w:rsidRDefault="00545935" w:rsidP="00545935">
      <w:r>
        <w:separator/>
      </w:r>
    </w:p>
  </w:footnote>
  <w:footnote w:type="continuationSeparator" w:id="0">
    <w:p w14:paraId="7F130B7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05D1" w14:textId="47B1365F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802F8">
      <w:rPr>
        <w:lang w:val="en-US"/>
      </w:rPr>
      <w:t>3</w:t>
    </w:r>
    <w:r w:rsidR="002B2D69">
      <w:rPr>
        <w:lang w:val="en-US"/>
      </w:rPr>
      <w:t>4H</w:t>
    </w:r>
  </w:p>
  <w:p w14:paraId="401BCE76" w14:textId="77777777" w:rsidR="00F64C03" w:rsidRDefault="00BB3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657" w14:textId="76534674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4802F8">
      <w:rPr>
        <w:rFonts w:cs="Arial"/>
        <w:lang w:val="en-US"/>
      </w:rPr>
      <w:t>3</w:t>
    </w:r>
    <w:r w:rsidR="002B2D69">
      <w:rPr>
        <w:rFonts w:cs="Arial"/>
        <w:lang w:val="en-US"/>
      </w:rPr>
      <w:t>4H</w:t>
    </w:r>
  </w:p>
  <w:p w14:paraId="0384AE1F" w14:textId="77777777" w:rsidR="00917942" w:rsidRPr="00545935" w:rsidRDefault="00BB3BA5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0DAA17EF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4189CAD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F3F624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0FB0D79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164F30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8CB5CA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CAD829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777256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0E3D99B" w14:textId="77777777" w:rsidR="002D1918" w:rsidRDefault="002D1918" w:rsidP="002D1918"/>
        <w:p w14:paraId="001FF7B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656DCF6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0B9E88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7194F1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ACD4CCD" w14:textId="77777777" w:rsidR="00F42E89" w:rsidRPr="00F42E89" w:rsidRDefault="00F42E89" w:rsidP="00F42E8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0364CE1F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1A40D40B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441371DA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3903997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5A22C82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4FB50E23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4D4421D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49D37093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F92A313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786EA6A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1DDBCE8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48F121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FEC272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38FB"/>
    <w:multiLevelType w:val="multilevel"/>
    <w:tmpl w:val="CDDAA98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6618"/>
    <w:multiLevelType w:val="multilevel"/>
    <w:tmpl w:val="4072D16C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EEE7701"/>
    <w:multiLevelType w:val="hybridMultilevel"/>
    <w:tmpl w:val="B1A0F026"/>
    <w:lvl w:ilvl="0" w:tplc="6F5ECBE6">
      <w:start w:val="2"/>
      <w:numFmt w:val="bullet"/>
      <w:lvlText w:val="-"/>
      <w:lvlJc w:val="left"/>
      <w:pPr>
        <w:ind w:left="137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9" w15:restartNumberingAfterBreak="0">
    <w:nsid w:val="111F04E3"/>
    <w:multiLevelType w:val="hybridMultilevel"/>
    <w:tmpl w:val="73E0C2EA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8079D"/>
    <w:multiLevelType w:val="hybridMultilevel"/>
    <w:tmpl w:val="C7941800"/>
    <w:lvl w:ilvl="0" w:tplc="DF14A9F0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47C0"/>
    <w:multiLevelType w:val="multilevel"/>
    <w:tmpl w:val="92FC4D38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55BA5"/>
    <w:multiLevelType w:val="hybridMultilevel"/>
    <w:tmpl w:val="F3C45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47A78"/>
    <w:multiLevelType w:val="hybridMultilevel"/>
    <w:tmpl w:val="3012A1E0"/>
    <w:lvl w:ilvl="0" w:tplc="16F88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2F90"/>
    <w:multiLevelType w:val="hybridMultilevel"/>
    <w:tmpl w:val="546C1F2E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A6A2F60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205DC"/>
    <w:multiLevelType w:val="multilevel"/>
    <w:tmpl w:val="FB3841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45912DA"/>
    <w:multiLevelType w:val="hybridMultilevel"/>
    <w:tmpl w:val="B9DA6D44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31D9E"/>
    <w:multiLevelType w:val="hybridMultilevel"/>
    <w:tmpl w:val="DADA622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E4A40"/>
    <w:multiLevelType w:val="hybridMultilevel"/>
    <w:tmpl w:val="6FCC7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02577"/>
    <w:multiLevelType w:val="hybridMultilevel"/>
    <w:tmpl w:val="1AA0C72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5B1726"/>
    <w:multiLevelType w:val="hybridMultilevel"/>
    <w:tmpl w:val="E6BC4984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34F8B"/>
    <w:multiLevelType w:val="hybridMultilevel"/>
    <w:tmpl w:val="8EE8D50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068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16F4B"/>
    <w:multiLevelType w:val="hybridMultilevel"/>
    <w:tmpl w:val="5804ECA6"/>
    <w:lvl w:ilvl="0" w:tplc="4722765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37521"/>
    <w:multiLevelType w:val="hybridMultilevel"/>
    <w:tmpl w:val="55B67D7C"/>
    <w:lvl w:ilvl="0" w:tplc="66CE5318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95BDF"/>
    <w:multiLevelType w:val="hybridMultilevel"/>
    <w:tmpl w:val="862A8D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47EBD"/>
    <w:multiLevelType w:val="hybridMultilevel"/>
    <w:tmpl w:val="F9E8EEA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7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06F8F"/>
    <w:multiLevelType w:val="multilevel"/>
    <w:tmpl w:val="E37E153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524D9"/>
    <w:multiLevelType w:val="hybridMultilevel"/>
    <w:tmpl w:val="9E32788A"/>
    <w:lvl w:ilvl="0" w:tplc="7C2C1376">
      <w:start w:val="1"/>
      <w:numFmt w:val="bullet"/>
      <w:lvlText w:val="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0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61582">
    <w:abstractNumId w:val="40"/>
  </w:num>
  <w:num w:numId="2" w16cid:durableId="875894332">
    <w:abstractNumId w:val="16"/>
  </w:num>
  <w:num w:numId="3" w16cid:durableId="1893544190">
    <w:abstractNumId w:val="26"/>
  </w:num>
  <w:num w:numId="4" w16cid:durableId="903684866">
    <w:abstractNumId w:val="1"/>
  </w:num>
  <w:num w:numId="5" w16cid:durableId="360056973">
    <w:abstractNumId w:val="17"/>
  </w:num>
  <w:num w:numId="6" w16cid:durableId="1118454031">
    <w:abstractNumId w:val="18"/>
  </w:num>
  <w:num w:numId="7" w16cid:durableId="133916480">
    <w:abstractNumId w:val="15"/>
  </w:num>
  <w:num w:numId="8" w16cid:durableId="415831811">
    <w:abstractNumId w:val="36"/>
  </w:num>
  <w:num w:numId="9" w16cid:durableId="1460564581">
    <w:abstractNumId w:val="25"/>
  </w:num>
  <w:num w:numId="10" w16cid:durableId="967665551">
    <w:abstractNumId w:val="39"/>
  </w:num>
  <w:num w:numId="11" w16cid:durableId="1483355286">
    <w:abstractNumId w:val="19"/>
  </w:num>
  <w:num w:numId="12" w16cid:durableId="1710033182">
    <w:abstractNumId w:val="6"/>
  </w:num>
  <w:num w:numId="13" w16cid:durableId="1926569378">
    <w:abstractNumId w:val="2"/>
  </w:num>
  <w:num w:numId="14" w16cid:durableId="1401903225">
    <w:abstractNumId w:val="32"/>
  </w:num>
  <w:num w:numId="15" w16cid:durableId="1529566358">
    <w:abstractNumId w:val="37"/>
  </w:num>
  <w:num w:numId="16" w16cid:durableId="608196951">
    <w:abstractNumId w:val="10"/>
  </w:num>
  <w:num w:numId="17" w16cid:durableId="1876845365">
    <w:abstractNumId w:val="35"/>
  </w:num>
  <w:num w:numId="18" w16cid:durableId="427043822">
    <w:abstractNumId w:val="22"/>
  </w:num>
  <w:num w:numId="19" w16cid:durableId="1851139547">
    <w:abstractNumId w:val="14"/>
  </w:num>
  <w:num w:numId="20" w16cid:durableId="44066774">
    <w:abstractNumId w:val="31"/>
  </w:num>
  <w:num w:numId="21" w16cid:durableId="1035734520">
    <w:abstractNumId w:val="28"/>
  </w:num>
  <w:num w:numId="22" w16cid:durableId="1905070412">
    <w:abstractNumId w:val="5"/>
  </w:num>
  <w:num w:numId="23" w16cid:durableId="928587977">
    <w:abstractNumId w:val="12"/>
  </w:num>
  <w:num w:numId="24" w16cid:durableId="1571580039">
    <w:abstractNumId w:val="20"/>
  </w:num>
  <w:num w:numId="25" w16cid:durableId="737752873">
    <w:abstractNumId w:val="4"/>
  </w:num>
  <w:num w:numId="26" w16cid:durableId="410583586">
    <w:abstractNumId w:val="0"/>
  </w:num>
  <w:num w:numId="27" w16cid:durableId="2049529223">
    <w:abstractNumId w:val="29"/>
  </w:num>
  <w:num w:numId="28" w16cid:durableId="1319571760">
    <w:abstractNumId w:val="34"/>
  </w:num>
  <w:num w:numId="29" w16cid:durableId="1623993395">
    <w:abstractNumId w:val="38"/>
  </w:num>
  <w:num w:numId="30" w16cid:durableId="84814050">
    <w:abstractNumId w:val="7"/>
  </w:num>
  <w:num w:numId="31" w16cid:durableId="175732476">
    <w:abstractNumId w:val="11"/>
  </w:num>
  <w:num w:numId="32" w16cid:durableId="1526363601">
    <w:abstractNumId w:val="33"/>
  </w:num>
  <w:num w:numId="33" w16cid:durableId="1740589504">
    <w:abstractNumId w:val="3"/>
  </w:num>
  <w:num w:numId="34" w16cid:durableId="1583485333">
    <w:abstractNumId w:val="21"/>
  </w:num>
  <w:num w:numId="35" w16cid:durableId="1365591593">
    <w:abstractNumId w:val="27"/>
  </w:num>
  <w:num w:numId="36" w16cid:durableId="380206969">
    <w:abstractNumId w:val="30"/>
  </w:num>
  <w:num w:numId="37" w16cid:durableId="1628968064">
    <w:abstractNumId w:val="24"/>
  </w:num>
  <w:num w:numId="38" w16cid:durableId="145556919">
    <w:abstractNumId w:val="23"/>
  </w:num>
  <w:num w:numId="39" w16cid:durableId="550575873">
    <w:abstractNumId w:val="8"/>
  </w:num>
  <w:num w:numId="40" w16cid:durableId="1287547604">
    <w:abstractNumId w:val="13"/>
  </w:num>
  <w:num w:numId="41" w16cid:durableId="169561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853B94-DA2B-4D23-9055-633B3E8C95ED}"/>
    <w:docVar w:name="dgnword-eventsink" w:val="1069227912"/>
  </w:docVars>
  <w:rsids>
    <w:rsidRoot w:val="00545935"/>
    <w:rsid w:val="000131D4"/>
    <w:rsid w:val="00031864"/>
    <w:rsid w:val="0003249B"/>
    <w:rsid w:val="000476C1"/>
    <w:rsid w:val="00053E38"/>
    <w:rsid w:val="00055089"/>
    <w:rsid w:val="000551CA"/>
    <w:rsid w:val="0006561C"/>
    <w:rsid w:val="00073ED0"/>
    <w:rsid w:val="000914EA"/>
    <w:rsid w:val="00092565"/>
    <w:rsid w:val="000B088F"/>
    <w:rsid w:val="000B2FFA"/>
    <w:rsid w:val="000B4C1E"/>
    <w:rsid w:val="000C15A3"/>
    <w:rsid w:val="000C5EF6"/>
    <w:rsid w:val="000D045D"/>
    <w:rsid w:val="000E41C6"/>
    <w:rsid w:val="00106195"/>
    <w:rsid w:val="001067B0"/>
    <w:rsid w:val="00106F7F"/>
    <w:rsid w:val="00126B09"/>
    <w:rsid w:val="0016158B"/>
    <w:rsid w:val="0018212F"/>
    <w:rsid w:val="001915B0"/>
    <w:rsid w:val="0019391D"/>
    <w:rsid w:val="00196426"/>
    <w:rsid w:val="001C3F56"/>
    <w:rsid w:val="001F3921"/>
    <w:rsid w:val="001F6AFB"/>
    <w:rsid w:val="00202683"/>
    <w:rsid w:val="002060C7"/>
    <w:rsid w:val="002374CD"/>
    <w:rsid w:val="00252051"/>
    <w:rsid w:val="002528B4"/>
    <w:rsid w:val="00276E67"/>
    <w:rsid w:val="0029126E"/>
    <w:rsid w:val="00295660"/>
    <w:rsid w:val="002B1E4D"/>
    <w:rsid w:val="002B2D69"/>
    <w:rsid w:val="002C4439"/>
    <w:rsid w:val="002D1918"/>
    <w:rsid w:val="002E6591"/>
    <w:rsid w:val="002F296E"/>
    <w:rsid w:val="00306072"/>
    <w:rsid w:val="00311EF8"/>
    <w:rsid w:val="0031614A"/>
    <w:rsid w:val="00346F9F"/>
    <w:rsid w:val="003637A7"/>
    <w:rsid w:val="003643EC"/>
    <w:rsid w:val="003D746B"/>
    <w:rsid w:val="003F199B"/>
    <w:rsid w:val="00400023"/>
    <w:rsid w:val="00414E7A"/>
    <w:rsid w:val="004224E6"/>
    <w:rsid w:val="00430F9B"/>
    <w:rsid w:val="00442D7D"/>
    <w:rsid w:val="00443536"/>
    <w:rsid w:val="00453238"/>
    <w:rsid w:val="004579FC"/>
    <w:rsid w:val="004802F8"/>
    <w:rsid w:val="00483A9A"/>
    <w:rsid w:val="00487AB3"/>
    <w:rsid w:val="004D127C"/>
    <w:rsid w:val="004E07E9"/>
    <w:rsid w:val="004E4778"/>
    <w:rsid w:val="004E5BAC"/>
    <w:rsid w:val="004E6630"/>
    <w:rsid w:val="004E6D65"/>
    <w:rsid w:val="004F3986"/>
    <w:rsid w:val="00502077"/>
    <w:rsid w:val="00502A57"/>
    <w:rsid w:val="00503A10"/>
    <w:rsid w:val="0053123D"/>
    <w:rsid w:val="00536686"/>
    <w:rsid w:val="0053766F"/>
    <w:rsid w:val="00545935"/>
    <w:rsid w:val="00557ED3"/>
    <w:rsid w:val="0057139C"/>
    <w:rsid w:val="00581F78"/>
    <w:rsid w:val="005A556C"/>
    <w:rsid w:val="005B12A0"/>
    <w:rsid w:val="005C02AC"/>
    <w:rsid w:val="005C137C"/>
    <w:rsid w:val="005C3537"/>
    <w:rsid w:val="005D2A73"/>
    <w:rsid w:val="005D46B2"/>
    <w:rsid w:val="005E7780"/>
    <w:rsid w:val="00604A2C"/>
    <w:rsid w:val="006112D2"/>
    <w:rsid w:val="00613902"/>
    <w:rsid w:val="006220DB"/>
    <w:rsid w:val="006539E1"/>
    <w:rsid w:val="006765F7"/>
    <w:rsid w:val="006A0B80"/>
    <w:rsid w:val="006C1135"/>
    <w:rsid w:val="006E1D73"/>
    <w:rsid w:val="00711C2D"/>
    <w:rsid w:val="0074777E"/>
    <w:rsid w:val="00750D67"/>
    <w:rsid w:val="007623AE"/>
    <w:rsid w:val="007A61AC"/>
    <w:rsid w:val="007F32AB"/>
    <w:rsid w:val="007F6E94"/>
    <w:rsid w:val="008056B1"/>
    <w:rsid w:val="00813904"/>
    <w:rsid w:val="00820D91"/>
    <w:rsid w:val="00844814"/>
    <w:rsid w:val="008547F1"/>
    <w:rsid w:val="00865D7E"/>
    <w:rsid w:val="00884E88"/>
    <w:rsid w:val="008853BC"/>
    <w:rsid w:val="008A5959"/>
    <w:rsid w:val="008B593F"/>
    <w:rsid w:val="008B6ED9"/>
    <w:rsid w:val="008E701A"/>
    <w:rsid w:val="00901E7C"/>
    <w:rsid w:val="00913E9F"/>
    <w:rsid w:val="00942B0F"/>
    <w:rsid w:val="00944A1A"/>
    <w:rsid w:val="0095377F"/>
    <w:rsid w:val="0097229C"/>
    <w:rsid w:val="00980CEB"/>
    <w:rsid w:val="00984D08"/>
    <w:rsid w:val="00986BD7"/>
    <w:rsid w:val="00991925"/>
    <w:rsid w:val="00995DD7"/>
    <w:rsid w:val="00996930"/>
    <w:rsid w:val="009B35A9"/>
    <w:rsid w:val="009B7C24"/>
    <w:rsid w:val="009C22C8"/>
    <w:rsid w:val="009F207F"/>
    <w:rsid w:val="00A0189C"/>
    <w:rsid w:val="00A03738"/>
    <w:rsid w:val="00A06272"/>
    <w:rsid w:val="00A31726"/>
    <w:rsid w:val="00A379A9"/>
    <w:rsid w:val="00A43061"/>
    <w:rsid w:val="00A43A7E"/>
    <w:rsid w:val="00A4450B"/>
    <w:rsid w:val="00A458B6"/>
    <w:rsid w:val="00A476B3"/>
    <w:rsid w:val="00A77DCE"/>
    <w:rsid w:val="00A96F25"/>
    <w:rsid w:val="00AA5C29"/>
    <w:rsid w:val="00AD4827"/>
    <w:rsid w:val="00AD4D70"/>
    <w:rsid w:val="00AE159B"/>
    <w:rsid w:val="00AE5CEE"/>
    <w:rsid w:val="00B1322E"/>
    <w:rsid w:val="00B33FE9"/>
    <w:rsid w:val="00B4007E"/>
    <w:rsid w:val="00B459F1"/>
    <w:rsid w:val="00B539DA"/>
    <w:rsid w:val="00B61410"/>
    <w:rsid w:val="00B62AAF"/>
    <w:rsid w:val="00B72710"/>
    <w:rsid w:val="00B75D31"/>
    <w:rsid w:val="00B76F8B"/>
    <w:rsid w:val="00B80CB8"/>
    <w:rsid w:val="00B81A14"/>
    <w:rsid w:val="00BA329A"/>
    <w:rsid w:val="00BA4779"/>
    <w:rsid w:val="00BA47C7"/>
    <w:rsid w:val="00BB3BA5"/>
    <w:rsid w:val="00BD3924"/>
    <w:rsid w:val="00BD6A46"/>
    <w:rsid w:val="00BE6FDE"/>
    <w:rsid w:val="00BF3EFE"/>
    <w:rsid w:val="00BF66F5"/>
    <w:rsid w:val="00C02598"/>
    <w:rsid w:val="00C40DF9"/>
    <w:rsid w:val="00C44EBA"/>
    <w:rsid w:val="00C465EF"/>
    <w:rsid w:val="00C656E5"/>
    <w:rsid w:val="00C65BAD"/>
    <w:rsid w:val="00C703AE"/>
    <w:rsid w:val="00C86A45"/>
    <w:rsid w:val="00C93293"/>
    <w:rsid w:val="00CB1455"/>
    <w:rsid w:val="00CE447A"/>
    <w:rsid w:val="00CF441E"/>
    <w:rsid w:val="00D136F5"/>
    <w:rsid w:val="00D45C01"/>
    <w:rsid w:val="00D60F0E"/>
    <w:rsid w:val="00D62C9B"/>
    <w:rsid w:val="00D67E2B"/>
    <w:rsid w:val="00D93877"/>
    <w:rsid w:val="00DA4B5A"/>
    <w:rsid w:val="00DA64BE"/>
    <w:rsid w:val="00DC55FB"/>
    <w:rsid w:val="00E14052"/>
    <w:rsid w:val="00E609ED"/>
    <w:rsid w:val="00E81B76"/>
    <w:rsid w:val="00E82365"/>
    <w:rsid w:val="00E87884"/>
    <w:rsid w:val="00E9004C"/>
    <w:rsid w:val="00EC2DBE"/>
    <w:rsid w:val="00ED5512"/>
    <w:rsid w:val="00F13B48"/>
    <w:rsid w:val="00F15F41"/>
    <w:rsid w:val="00F42E89"/>
    <w:rsid w:val="00FB018B"/>
    <w:rsid w:val="00FB11BF"/>
    <w:rsid w:val="00FE1B85"/>
    <w:rsid w:val="00FE2E1A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DB49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C7"/>
    <w:rPr>
      <w:rFonts w:asciiTheme="majorHAnsi" w:eastAsiaTheme="majorEastAsia" w:hAnsiTheme="majorHAnsi" w:cs="Times New Roman"/>
    </w:rPr>
  </w:style>
  <w:style w:type="paragraph" w:customStyle="1" w:styleId="Default">
    <w:name w:val="Default"/>
    <w:rsid w:val="00653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customStyle="1" w:styleId="TableGrid7">
    <w:name w:val="Table Grid7"/>
    <w:basedOn w:val="TableNormal"/>
    <w:next w:val="TableGrid"/>
    <w:uiPriority w:val="59"/>
    <w:rsid w:val="0005508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0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01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01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austlii.edu.au/au/legis/sa/consol_act/pgfpoa2004410/s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65AD-85EA-4E25-9438-4D021005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34H Order and Summons - Problem Gambling - Attachment Order and Summons (Interim)</dc:title>
  <dc:subject/>
  <dc:creator>Courts Administration Authority</dc:creator>
  <cp:keywords>Forms; Special</cp:keywords>
  <dc:description/>
  <cp:lastModifiedBy/>
  <cp:revision>1</cp:revision>
  <dcterms:created xsi:type="dcterms:W3CDTF">2021-09-02T07:13:00Z</dcterms:created>
  <dcterms:modified xsi:type="dcterms:W3CDTF">2022-07-28T11:39:00Z</dcterms:modified>
</cp:coreProperties>
</file>